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4513634</wp:posOffset>
            </wp:positionH>
            <wp:positionV relativeFrom="page">
              <wp:posOffset>445680</wp:posOffset>
            </wp:positionV>
            <wp:extent cx="2161576" cy="15283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161576" cy="1528356"/>
                    </a:xfrm>
                    <a:prstGeom prst="rect">
                      <a:avLst/>
                    </a:prstGeom>
                    <a:ln w="12700" cap="flat">
                      <a:noFill/>
                      <a:miter lim="400000"/>
                    </a:ln>
                    <a:effectLst/>
                  </pic:spPr>
                </pic:pic>
              </a:graphicData>
            </a:graphic>
          </wp:anchor>
        </w:drawing>
      </w: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5</w:t>
      </w: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write a discussion text.</w:t>
      </w: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cs="Grunge Manifesto" w:hAnsi="Grunge Manifesto" w:eastAsia="Grunge Manifesto"/>
          <w:sz w:val="50"/>
          <w:szCs w:val="5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190499</wp:posOffset>
                </wp:positionV>
                <wp:extent cx="5486400" cy="2643506"/>
                <wp:effectExtent l="0" t="0" r="0" b="0"/>
                <wp:wrapSquare wrapText="bothSides" distL="57150" distR="57150" distT="57150" distB="57150"/>
                <wp:docPr id="1073741826" name="officeArt object" descr="Text Box 5"/>
                <wp:cNvGraphicFramePr/>
                <a:graphic xmlns:a="http://schemas.openxmlformats.org/drawingml/2006/main">
                  <a:graphicData uri="http://schemas.microsoft.com/office/word/2010/wordprocessingShape">
                    <wps:wsp>
                      <wps:cNvSpPr txBox="1"/>
                      <wps:spPr>
                        <a:xfrm>
                          <a:off x="0" y="0"/>
                          <a:ext cx="5486400" cy="2643506"/>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rtl w:val="0"/>
                                <w:lang w:val="en-US"/>
                              </w:rPr>
                              <w:t>using a wide range of devices to build cohesion within and across paragraphs</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rtl w:val="0"/>
                                <w:lang w:val="en-US"/>
                              </w:rPr>
                              <w:t>using further organisational and presentational devices to structure text and to guide the reader</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modal verbs or adverbs to indicate degrees of possibility</w:t>
                            </w: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15.0pt;width:432.0pt;height:208.2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rtl w:val="0"/>
                          <w:lang w:val="en-US"/>
                        </w:rPr>
                        <w:t>using a wide range of devices to build cohesion within and across paragraphs</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u w:color="000000"/>
                          <w:rtl w:val="0"/>
                          <w:lang w:val="en-US"/>
                        </w:rPr>
                        <w:t>using further organisational and presentational devices to structure text and to guide the reader</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modal verbs or adverbs to indicate degrees of possibility</w:t>
                      </w: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page"/>
              </v:shape>
            </w:pict>
          </mc:Fallback>
        </mc:AlternateConten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Show children a selection of different words, some modal verbs and some adverbs of possibility. Ask them to sort them into two lists.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possibly   </w:t>
        <w:tab/>
        <w:t xml:space="preserve">  must</w:t>
        <w:tab/>
        <w:tab/>
        <w:t>perhaps</w:t>
        <w:tab/>
        <w:t xml:space="preserve">  can</w:t>
        <w:tab/>
        <w:t xml:space="preserve">       should</w:t>
        <w:tab/>
        <w:t xml:space="preserve">       surely</w:t>
        <w:tab/>
        <w:tab/>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Before the lesson, type up one child</w:t>
      </w:r>
      <w:r>
        <w:rPr>
          <w:rFonts w:ascii="Arial" w:hAnsi="Arial" w:hint="default"/>
          <w:sz w:val="24"/>
          <w:szCs w:val="24"/>
          <w:u w:color="000000"/>
          <w:rtl w:val="0"/>
          <w:lang w:val="en-US"/>
        </w:rPr>
        <w:t>’</w:t>
      </w:r>
      <w:r>
        <w:rPr>
          <w:rFonts w:ascii="Arial" w:hAnsi="Arial"/>
          <w:sz w:val="24"/>
          <w:szCs w:val="24"/>
          <w:u w:color="000000"/>
          <w:rtl w:val="0"/>
          <w:lang w:val="en-US"/>
        </w:rPr>
        <w:t>s discussion text plan onto the interactive whiteboard so it is visible to all.</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Go through the structure of a discussion text with reference to the plan:</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Introduction of the issue</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For argument</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Against argument</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For argument</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Against argument</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For argument</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Against argument</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 xml:space="preserve">Conclusion </w:t>
      </w:r>
      <w:r>
        <w:rPr>
          <w:rFonts w:ascii="Arial" w:hAnsi="Arial" w:hint="default"/>
          <w:u w:color="000000"/>
          <w:rtl w:val="0"/>
          <w:lang w:val="en-US"/>
        </w:rPr>
        <w:t xml:space="preserve">– </w:t>
      </w:r>
      <w:r>
        <w:rPr>
          <w:rFonts w:ascii="Arial" w:hAnsi="Arial"/>
          <w:u w:color="000000"/>
          <w:rtl w:val="0"/>
          <w:lang w:val="en-US"/>
        </w:rPr>
        <w:t>what does the author think?</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discuss the language features of a discussion text:</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6"/>
        </w:numPr>
        <w:spacing w:before="0"/>
        <w:jc w:val="left"/>
        <w:rPr>
          <w:rFonts w:ascii="Arial" w:hAnsi="Arial"/>
          <w:u w:color="000000"/>
          <w:lang w:val="en-US"/>
        </w:rPr>
      </w:pPr>
      <w:r>
        <w:rPr>
          <w:rFonts w:ascii="Arial" w:hAnsi="Arial"/>
          <w:u w:color="000000"/>
          <w:rtl w:val="0"/>
          <w:lang w:val="en-US"/>
        </w:rPr>
        <w:t>Words and phrases to link ideas between paragraphs</w:t>
      </w:r>
    </w:p>
    <w:p>
      <w:pPr>
        <w:pStyle w:val="Default"/>
        <w:numPr>
          <w:ilvl w:val="0"/>
          <w:numId w:val="6"/>
        </w:numPr>
        <w:spacing w:before="0"/>
        <w:jc w:val="left"/>
        <w:rPr>
          <w:rFonts w:ascii="Arial" w:hAnsi="Arial"/>
          <w:u w:color="000000"/>
          <w:lang w:val="en-US"/>
        </w:rPr>
      </w:pPr>
      <w:r>
        <w:rPr>
          <w:rFonts w:ascii="Arial" w:hAnsi="Arial"/>
          <w:u w:color="000000"/>
          <w:rtl w:val="0"/>
          <w:lang w:val="en-US"/>
        </w:rPr>
        <w:t>Uncountable noun phrases (e.g. some people, most people)</w:t>
      </w:r>
    </w:p>
    <w:p>
      <w:pPr>
        <w:pStyle w:val="Default"/>
        <w:numPr>
          <w:ilvl w:val="0"/>
          <w:numId w:val="6"/>
        </w:numPr>
        <w:spacing w:before="0"/>
        <w:jc w:val="left"/>
        <w:rPr>
          <w:rFonts w:ascii="Arial" w:hAnsi="Arial"/>
          <w:u w:color="000000"/>
          <w:lang w:val="en-US"/>
        </w:rPr>
      </w:pPr>
      <w:r>
        <w:rPr>
          <w:rFonts w:ascii="Arial" w:hAnsi="Arial"/>
          <w:u w:color="000000"/>
          <w:rtl w:val="0"/>
          <w:lang w:val="en-US"/>
        </w:rPr>
        <w:t>Adverbs of possibility (e.g. perhaps, surely)</w:t>
      </w:r>
    </w:p>
    <w:p>
      <w:pPr>
        <w:pStyle w:val="Default"/>
        <w:numPr>
          <w:ilvl w:val="0"/>
          <w:numId w:val="6"/>
        </w:numPr>
        <w:spacing w:before="0"/>
        <w:jc w:val="left"/>
        <w:rPr>
          <w:rFonts w:ascii="Arial" w:hAnsi="Arial"/>
          <w:u w:color="000000"/>
          <w:lang w:val="en-US"/>
        </w:rPr>
      </w:pPr>
      <w:r>
        <w:rPr>
          <w:rFonts w:ascii="Arial" w:hAnsi="Arial"/>
          <w:u w:color="000000"/>
          <w:rtl w:val="0"/>
          <w:lang w:val="en-US"/>
        </w:rPr>
        <w:t>Modal verbs to show possibility (e.g. would, should, can)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using the plan on the interactive whiteboard to write the title and the first paragraph (introduction). Children then work with their talk partner to write their own introduction.</w:t>
      </w:r>
    </w:p>
    <w:p>
      <w:pPr>
        <w:pStyle w:val="Body"/>
        <w:bidi w:val="0"/>
        <w:spacing w:line="259" w:lineRule="auto"/>
        <w:ind w:left="0" w:right="0" w:firstLine="0"/>
        <w:jc w:val="left"/>
        <w:rPr>
          <w:rFonts w:ascii="Arial" w:cs="Arial" w:hAnsi="Arial" w:eastAsia="Arial"/>
          <w:outline w:val="0"/>
          <w:color w:val="ff0000"/>
          <w:sz w:val="24"/>
          <w:szCs w:val="24"/>
          <w:u w:color="ff0000"/>
          <w:rtl w:val="0"/>
          <w14:textFill>
            <w14:solidFill>
              <w14:srgbClr w14:val="FF0000"/>
            </w14:solidFill>
          </w14:textFill>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Once the children have written their introduction, model writing the next two paragraphs, asking the children to help you once you have written the first sentence. Explicitly model linking back to the first </w:t>
      </w:r>
      <w:r>
        <w:rPr>
          <w:rFonts w:ascii="Arial" w:hAnsi="Arial"/>
          <w:b w:val="1"/>
          <w:bCs w:val="1"/>
          <w:sz w:val="24"/>
          <w:szCs w:val="24"/>
          <w:u w:color="000000"/>
          <w:rtl w:val="0"/>
          <w:lang w:val="en-US"/>
        </w:rPr>
        <w:t>for</w:t>
      </w:r>
      <w:r>
        <w:rPr>
          <w:rFonts w:ascii="Arial" w:hAnsi="Arial"/>
          <w:sz w:val="24"/>
          <w:szCs w:val="24"/>
          <w:u w:color="000000"/>
          <w:rtl w:val="0"/>
          <w:lang w:val="en-US"/>
        </w:rPr>
        <w:t xml:space="preserve"> argument in the first </w:t>
      </w:r>
      <w:r>
        <w:rPr>
          <w:rFonts w:ascii="Arial" w:hAnsi="Arial"/>
          <w:b w:val="1"/>
          <w:bCs w:val="1"/>
          <w:sz w:val="24"/>
          <w:szCs w:val="24"/>
          <w:u w:color="000000"/>
          <w:rtl w:val="0"/>
          <w:lang w:val="en-US"/>
        </w:rPr>
        <w:t>against</w:t>
      </w:r>
      <w:r>
        <w:rPr>
          <w:rFonts w:ascii="Arial" w:hAnsi="Arial"/>
          <w:sz w:val="24"/>
          <w:szCs w:val="24"/>
          <w:u w:color="000000"/>
          <w:rtl w:val="0"/>
          <w:lang w:val="fr-FR"/>
        </w:rPr>
        <w:t xml:space="preserve"> paragraph.</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See below for an example of the modelled writing:</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center"/>
        <w:rPr>
          <w:rFonts w:ascii="Arial" w:cs="Arial" w:hAnsi="Arial" w:eastAsia="Arial"/>
          <w:i w:val="1"/>
          <w:iCs w:val="1"/>
          <w:sz w:val="24"/>
          <w:szCs w:val="24"/>
          <w:u w:val="single" w:color="000000"/>
          <w:rtl w:val="0"/>
        </w:rPr>
      </w:pPr>
      <w:r>
        <w:rPr>
          <w:rFonts w:ascii="Arial" w:hAnsi="Arial"/>
          <w:i w:val="1"/>
          <w:iCs w:val="1"/>
          <w:sz w:val="24"/>
          <w:szCs w:val="24"/>
          <w:u w:val="single" w:color="000000"/>
          <w:rtl w:val="0"/>
          <w:lang w:val="en-US"/>
        </w:rPr>
        <w:t>Should Juliet Obey her Parents?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The idea that children should obey their parents goes back to biblical times. However, children often find it difficult to follow the wishes of their parents as demonstrated throughout history. The issue of whether Juliet should obey her parents has strong arguments on both sides which will be explored in more detail in this discussion text.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Firstly, many would argue that Juliet should obey her parents out of respect. It is important that young people show respect for their elders by obeying their wishes and trusting that they know what is best for them</w:t>
      </w: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However, others would suggest that Juliet is unable to respect her parents</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en-US"/>
        </w:rPr>
        <w:t>wishes because she is already married to Romeo. Therefore she should not obey her parents because to do so would mean breaking the law and her marriage vows to Romeo.</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then complete the rest of the discussion text, using their plan to help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Editing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When the children have finished writing, ask them to read through their work and look for parts that do not make sense, missing punctuation and misspelt words.</w:t>
      </w:r>
    </w:p>
    <w:p>
      <w:pPr>
        <w:pStyle w:val="Body"/>
        <w:bidi w:val="0"/>
        <w:spacing w:line="259" w:lineRule="auto"/>
        <w:ind w:left="0" w:right="0" w:firstLine="0"/>
        <w:jc w:val="left"/>
        <w:rPr>
          <w:rFonts w:ascii="Arial" w:cs="Arial" w:hAnsi="Arial" w:eastAsia="Arial"/>
          <w:outline w:val="0"/>
          <w:color w:val="ff0000"/>
          <w:sz w:val="24"/>
          <w:szCs w:val="24"/>
          <w:u w:color="ff0000"/>
          <w:rtl w:val="0"/>
          <w14:textFill>
            <w14:solidFill>
              <w14:srgbClr w14:val="FF0000"/>
            </w14:solidFill>
          </w14:textFill>
        </w:rPr>
      </w:pPr>
    </w:p>
    <w:p>
      <w:pPr>
        <w:pStyle w:val="Body"/>
        <w:bidi w:val="0"/>
        <w:spacing w:line="259" w:lineRule="auto"/>
        <w:ind w:left="0" w:right="0" w:firstLine="0"/>
        <w:jc w:val="left"/>
        <w:rPr>
          <w:rtl w:val="0"/>
        </w:rPr>
      </w:pPr>
      <w:r>
        <w:rPr>
          <w:rFonts w:ascii="Arial" w:cs="Arial" w:hAnsi="Arial" w:eastAsia="Arial"/>
          <w:outline w:val="0"/>
          <w:color w:val="ff0000"/>
          <w:sz w:val="24"/>
          <w:szCs w:val="24"/>
          <w:u w:color="ff0000"/>
          <w:rtl w:val="0"/>
          <w14:textFill>
            <w14:solidFill>
              <w14:srgbClr w14:val="FF0000"/>
            </w14:solidFill>
          </w14:textFill>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8"/>
  </w:abstractNum>
  <w:abstractNum w:abstractNumId="3">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9"/>
  </w:abstractNum>
  <w:abstractNum w:abstractNumId="5">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8">
    <w:name w:val="Imported Style 18"/>
    <w:pPr>
      <w:numPr>
        <w:numId w:val="3"/>
      </w:numPr>
    </w:pPr>
  </w:style>
  <w:style w:type="numbering" w:styleId="Imported Style 19">
    <w:name w:val="Imported Style 19"/>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